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Speaking Up and SBAR Practice</w:t>
      </w:r>
    </w:p>
    <w:p>
      <w:pPr>
        <w:spacing w:after="140"/>
      </w:pPr>
      <w:r>
        <w:t>KANS Faculty Teaching Packet  |  Version 1  |  October 17 2026</w:t>
      </w:r>
    </w:p>
    <w:p>
      <w:pPr>
        <w:spacing w:after="140"/>
      </w:pPr>
      <w:r>
        <w:t>Learners rehearse a clear request for help when information does not match a planned action. The listener practices acknowledging the concern and confirming responsibility for the next step.</w:t>
      </w:r>
    </w:p>
    <w:p>
      <w:pPr>
        <w:spacing w:after="140"/>
      </w:pPr>
      <w:r>
        <w:t>Audience: Nursing students and chapter learning groups</w:t>
        <w:br/>
        <w:t>Session: 25 minutes  |  Instructor preparation: 10 minutes</w:t>
      </w:r>
    </w:p>
    <w:p>
      <w:pPr>
        <w:pStyle w:val="Heading1"/>
        <w:spacing w:before="200" w:after="120"/>
      </w:pPr>
      <w:r>
        <w:t>Learning objectives</w:t>
      </w:r>
    </w:p>
    <w:p>
      <w:pPr>
        <w:pStyle w:val="ListBullet"/>
        <w:spacing w:after="140"/>
      </w:pPr>
      <w:r>
        <w:t>Organize a concise SBAR message from a fictional scenario.</w:t>
      </w:r>
    </w:p>
    <w:p>
      <w:pPr>
        <w:pStyle w:val="ListBullet"/>
        <w:spacing w:after="140"/>
      </w:pPr>
      <w:r>
        <w:t>Respond respectfully when a concern does not receive a clear answer.</w:t>
      </w:r>
    </w:p>
    <w:p>
      <w:pPr>
        <w:pStyle w:val="ListBullet"/>
        <w:spacing w:after="140"/>
      </w:pPr>
      <w:r>
        <w:t>Use a check-back to confirm the agreed next step.</w:t>
      </w:r>
    </w:p>
    <w:p>
      <w:pPr>
        <w:pStyle w:val="Heading1"/>
        <w:spacing w:before="200" w:after="120"/>
      </w:pPr>
      <w:r>
        <w:t>Before the session</w:t>
      </w:r>
    </w:p>
    <w:p>
      <w:pPr>
        <w:spacing w:after="140"/>
      </w:pPr>
      <w:r>
        <w:t>Choose a classroom setting where learners can rehearse without interruption. Assign pairs and an observer when numbers allow. Clarify the school’s escalation route before practice. Read the answer guide and select whether the exercise will use clinical or chapter language. No learner performs a clinical intervention during this rehearsal.</w:t>
      </w:r>
    </w:p>
    <w:p>
      <w:pPr>
        <w:pStyle w:val="Heading1"/>
        <w:spacing w:before="200" w:after="120"/>
      </w:pPr>
      <w:r>
        <w:t>Session plan</w:t>
      </w:r>
    </w:p>
    <w:tbl>
      <w:tblPr>
        <w:tblW w:type="auto" w:w="0"/>
        <w:tblLayout w:type="fixed"/>
        <w:tblLook w:firstColumn="1" w:firstRow="1" w:lastColumn="0" w:lastRow="0" w:noHBand="0" w:noVBand="1" w:val="04A0"/>
      </w:tblPr>
      <w:tblGrid>
        <w:gridCol w:w="1440"/>
        <w:gridCol w:w="8352"/>
      </w:tblGrid>
      <w:tr>
        <w:trPr>
          <w:tblHeader/>
        </w:trPr>
        <w:tc>
          <w:tcPr>
            <w:tcW w:type="dxa" w:w="1440"/>
            <w:shd w:fill="E8EDF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sz w:val="20"/>
              </w:rPr>
              <w:t>Time</w:t>
            </w:r>
          </w:p>
        </w:tc>
        <w:tc>
          <w:tcPr>
            <w:tcW w:type="dxa" w:w="8352"/>
            <w:shd w:fill="E8EDF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sz w:val="20"/>
              </w:rPr>
              <w:t>Facilitator action</w:t>
            </w:r>
          </w:p>
        </w:tc>
      </w:tr>
      <w:tr>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0–4 minutes</w:t>
            </w:r>
          </w:p>
        </w:tc>
        <w:tc>
          <w:tcPr>
            <w:tcW w:type="dxa" w:w="835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Review Situation, Background, Assessment, and Recommendation or Request. Describe check-back in plain language: repeat what you understand and seek confirmation.</w:t>
            </w:r>
          </w:p>
        </w:tc>
      </w:tr>
      <w:tr>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4–9 minutes</w:t>
            </w:r>
          </w:p>
        </w:tc>
        <w:tc>
          <w:tcPr>
            <w:tcW w:type="dxa" w:w="835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Learners prepare their message from the handout. The observer checks for facts, uncertainty, and a specific request.</w:t>
            </w:r>
          </w:p>
        </w:tc>
      </w:tr>
      <w:tr>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9–15 minutes</w:t>
            </w:r>
          </w:p>
        </w:tc>
        <w:tc>
          <w:tcPr>
            <w:tcW w:type="dxa" w:w="835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Run two rounds. In the first round, the listener says, “I am busy.” In the second, the listener acknowledges the concern and proposes a clear next step.</w:t>
            </w:r>
          </w:p>
        </w:tc>
      </w:tr>
      <w:tr>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15–21 minutes</w:t>
            </w:r>
          </w:p>
        </w:tc>
        <w:tc>
          <w:tcPr>
            <w:tcW w:type="dxa" w:w="835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Switch roles. Give feedback on the wording and the response rather than the speaker’s personality.</w:t>
            </w:r>
          </w:p>
        </w:tc>
      </w:tr>
      <w:tr>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21–25 minutes</w:t>
            </w:r>
          </w:p>
        </w:tc>
        <w:tc>
          <w:tcPr>
            <w:tcW w:type="dxa" w:w="835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Debrief and complete the exit response.</w:t>
            </w:r>
          </w:p>
        </w:tc>
      </w:tr>
    </w:tbl>
    <w:p>
      <w:pPr>
        <w:spacing w:after="140"/>
      </w:pPr>
      <w:r>
        <w:t>Educational use only. Review against your course and institutional policies before use. This packet does not confer continuing education credit.</w:t>
      </w:r>
    </w:p>
    <w:p>
      <w:r>
        <w:br w:type="page"/>
      </w:r>
    </w:p>
    <w:p>
      <w:pPr>
        <w:pStyle w:val="Title"/>
      </w:pPr>
      <w:r>
        <w:t>Student Activity Handout</w:t>
      </w:r>
    </w:p>
    <w:p>
      <w:pPr>
        <w:spacing w:after="140"/>
      </w:pPr>
      <w:r>
        <w:t>Speaking Up and SBAR Practice</w:t>
      </w:r>
    </w:p>
    <w:p>
      <w:pPr>
        <w:spacing w:after="140"/>
      </w:pPr>
      <w:r>
        <w:t>Name __________________________  Date ______________  Course or chapter __________________________</w:t>
      </w:r>
    </w:p>
    <w:p>
      <w:pPr>
        <w:pStyle w:val="Heading1"/>
        <w:spacing w:before="200" w:after="120"/>
      </w:pPr>
      <w:r>
        <w:t>Scenario</w:t>
      </w:r>
    </w:p>
    <w:p>
      <w:pPr>
        <w:spacing w:after="140"/>
      </w:pPr>
      <w:r>
        <w:t>In a fictional clinical skills exercise, the written plan describes one procedure, but the available supply label appears inconsistent with that plan. You are unsure whether the label or the written plan is current. A team member says to continue because the group is behind schedule. No procedure has started.</w:t>
      </w:r>
    </w:p>
    <w:p>
      <w:pPr>
        <w:pStyle w:val="Heading1"/>
        <w:spacing w:before="200" w:after="120"/>
      </w:pPr>
      <w:r>
        <w:t>New information</w:t>
      </w:r>
    </w:p>
    <w:p>
      <w:pPr>
        <w:spacing w:after="140"/>
      </w:pPr>
      <w:r>
        <w:t>The listener initially responds, “We use this all the time.” Practice a second statement that identifies your concern and asks to pause while the supervising instructor checks the mismatch. If the concern remains unresolved, describe your program’s next escalation step.</w:t>
      </w:r>
    </w:p>
    <w:p>
      <w:pPr>
        <w:pStyle w:val="Heading1"/>
        <w:spacing w:before="200" w:after="120"/>
      </w:pPr>
      <w:r>
        <w:t>Your task</w:t>
      </w:r>
    </w:p>
    <w:p>
      <w:pPr>
        <w:spacing w:after="140"/>
      </w:pPr>
      <w:r>
        <w:t>1. Situation: What is happening, and what needs attention now?</w:t>
      </w:r>
    </w:p>
    <w:p>
      <w:pPr>
        <w:spacing w:after="120"/>
      </w:pPr>
      <w:r>
        <w:t>________________________________________________________________________________</w:t>
      </w:r>
    </w:p>
    <w:p>
      <w:pPr>
        <w:spacing w:after="140"/>
      </w:pPr>
      <w:r>
        <w:t>2. Background: Which short facts help the listener understand the mismatch?</w:t>
      </w:r>
    </w:p>
    <w:p>
      <w:pPr>
        <w:spacing w:after="120"/>
      </w:pPr>
      <w:r>
        <w:t>________________________________________________________________________________</w:t>
      </w:r>
    </w:p>
    <w:p>
      <w:pPr>
        <w:spacing w:after="140"/>
      </w:pPr>
      <w:r>
        <w:t>3. Assessment: What do you observe, what do you think may be wrong, and what remains uncertain?</w:t>
      </w:r>
    </w:p>
    <w:p>
      <w:pPr>
        <w:spacing w:after="120"/>
      </w:pPr>
      <w:r>
        <w:t>________________________________________________________________________________</w:t>
      </w:r>
    </w:p>
    <w:p>
      <w:pPr>
        <w:spacing w:after="140"/>
      </w:pPr>
      <w:r>
        <w:t>4. Recommendation or Request: What specific help do you need before the planned action continues?</w:t>
      </w:r>
    </w:p>
    <w:p>
      <w:pPr>
        <w:spacing w:after="120"/>
      </w:pPr>
      <w:r>
        <w:t>________________________________________________________________________________</w:t>
      </w:r>
    </w:p>
    <w:p>
      <w:pPr>
        <w:spacing w:after="140"/>
      </w:pPr>
      <w:r>
        <w:t>5. Check-back: How will you repeat the agreed next step and confirm who will do it?</w:t>
      </w:r>
    </w:p>
    <w:p>
      <w:pPr>
        <w:spacing w:after="120"/>
      </w:pPr>
      <w:r>
        <w:t>________________________________________________________________________________</w:t>
      </w:r>
    </w:p>
    <w:p>
      <w:pPr>
        <w:spacing w:after="140"/>
      </w:pPr>
      <w:r>
        <w:t>6. After the first unclear response, what respectful statement keeps the concern visible?</w:t>
      </w:r>
    </w:p>
    <w:p>
      <w:pPr>
        <w:spacing w:after="120"/>
      </w:pPr>
      <w:r>
        <w:t>________________________________________________________________________________</w:t>
      </w:r>
    </w:p>
    <w:p>
      <w:pPr>
        <w:pStyle w:val="Heading1"/>
        <w:spacing w:before="200" w:after="120"/>
      </w:pPr>
      <w:r>
        <w:t>What to submit</w:t>
      </w:r>
    </w:p>
    <w:p>
      <w:pPr>
        <w:spacing w:after="140"/>
      </w:pPr>
      <w:r>
        <w:t>Prepare a 45- to 60-second message and a two-sentence check-back. The observer records one effective phrase and one revision. Do not include a real patient’s information.</w:t>
      </w:r>
    </w:p>
    <w:p>
      <w:r>
        <w:br w:type="page"/>
      </w:r>
    </w:p>
    <w:p>
      <w:pPr>
        <w:pStyle w:val="Title"/>
      </w:pPr>
      <w:r>
        <w:t>Facilitator Discussion Guide</w:t>
      </w:r>
    </w:p>
    <w:p>
      <w:pPr>
        <w:spacing w:after="140"/>
      </w:pPr>
      <w:r>
        <w:t>Speaking Up and SBAR Practice</w:t>
      </w:r>
    </w:p>
    <w:p>
      <w:pPr>
        <w:spacing w:after="140"/>
      </w:pPr>
      <w:r>
        <w:t>Use this guide after learners finish their first response. Accept well-reasoned alternatives that meet the objectives and local policies. Ask learners to explain uncertainty rather than guess what the instructor wants to hear.</w:t>
      </w:r>
    </w:p>
    <w:p>
      <w:pPr>
        <w:pStyle w:val="Heading1"/>
        <w:spacing w:before="200" w:after="120"/>
      </w:pPr>
      <w:r>
        <w:t>Keep the message focused</w:t>
      </w:r>
    </w:p>
    <w:p>
      <w:pPr>
        <w:spacing w:after="140"/>
      </w:pPr>
      <w:r>
        <w:t>A useful message identifies the mismatch before giving a long history. It names the two conflicting sources without assuming which source is wrong.</w:t>
      </w:r>
    </w:p>
    <w:p>
      <w:pPr>
        <w:pStyle w:val="Heading1"/>
        <w:spacing w:before="200" w:after="120"/>
      </w:pPr>
      <w:r>
        <w:t>Ask for a concrete next step</w:t>
      </w:r>
    </w:p>
    <w:p>
      <w:pPr>
        <w:spacing w:after="140"/>
      </w:pPr>
      <w:r>
        <w:t>An acceptable request asks the instructor or supervising nurse to verify the plan before proceeding. “Someone should check” leaves ownership unclear.</w:t>
      </w:r>
    </w:p>
    <w:p>
      <w:pPr>
        <w:pStyle w:val="Heading1"/>
        <w:spacing w:before="200" w:after="120"/>
      </w:pPr>
      <w:r>
        <w:t>Persist without accusation</w:t>
      </w:r>
    </w:p>
    <w:p>
      <w:pPr>
        <w:spacing w:after="140"/>
      </w:pPr>
      <w:r>
        <w:t>The second statement should explain the unresolved concern and ask for a response. Discuss CUS as an available TeamSTEPPS structure, while using the local escalation route for the actual setting.</w:t>
      </w:r>
    </w:p>
    <w:p>
      <w:pPr>
        <w:pStyle w:val="Heading1"/>
        <w:spacing w:before="200" w:after="120"/>
      </w:pPr>
      <w:r>
        <w:t>Close the loop</w:t>
      </w:r>
    </w:p>
    <w:p>
      <w:pPr>
        <w:spacing w:after="140"/>
      </w:pPr>
      <w:r>
        <w:t>The listener identifies who will check and when. The speaker repeats the plan and confirms understanding. Learners should not treat silence or a dismissive comment as resolution.</w:t>
      </w:r>
    </w:p>
    <w:p>
      <w:pPr>
        <w:pStyle w:val="Heading1"/>
        <w:spacing w:before="200" w:after="120"/>
      </w:pPr>
      <w:r>
        <w:t>Debrief questions</w:t>
      </w:r>
    </w:p>
    <w:p>
      <w:pPr>
        <w:pStyle w:val="ListBullet"/>
        <w:spacing w:after="140"/>
      </w:pPr>
      <w:r>
        <w:t>What made the request easy or difficult to understand?</w:t>
      </w:r>
    </w:p>
    <w:p>
      <w:pPr>
        <w:pStyle w:val="ListBullet"/>
        <w:spacing w:after="140"/>
      </w:pPr>
      <w:r>
        <w:t>How did time pressure affect the exchange?</w:t>
      </w:r>
    </w:p>
    <w:p>
      <w:pPr>
        <w:pStyle w:val="ListBullet"/>
        <w:spacing w:after="140"/>
      </w:pPr>
      <w:r>
        <w:t>What response from the listener helped the speaker continue?</w:t>
      </w:r>
    </w:p>
    <w:p>
      <w:pPr>
        <w:pStyle w:val="Heading1"/>
        <w:spacing w:before="200" w:after="120"/>
      </w:pPr>
      <w:r>
        <w:t>Adaptation and access</w:t>
      </w:r>
    </w:p>
    <w:p>
      <w:pPr>
        <w:spacing w:after="140"/>
      </w:pPr>
      <w:r>
        <w:t>For a shorter session, use one scenario round and an individual exit response. For an online class, let students submit an audio response or a written equivalent. Explain the same criteria for every format. Provide documents in an accessible format and arrange approved accommodations through your institution.</w:t>
      </w:r>
    </w:p>
    <w:p>
      <w:pPr>
        <w:pStyle w:val="Heading1"/>
        <w:spacing w:before="200" w:after="120"/>
      </w:pPr>
      <w:r>
        <w:t>Exit response</w:t>
      </w:r>
    </w:p>
    <w:p>
      <w:pPr>
        <w:spacing w:after="140"/>
      </w:pPr>
      <w:r>
        <w:t>Name one assumption you reconsidered and one action you would take next. What evidence would show that your action helped?</w:t>
      </w:r>
    </w:p>
    <w:p>
      <w:r>
        <w:br w:type="page"/>
      </w:r>
    </w:p>
    <w:p>
      <w:pPr>
        <w:pStyle w:val="Title"/>
      </w:pPr>
      <w:r>
        <w:t>Assessment and References</w:t>
      </w:r>
    </w:p>
    <w:p>
      <w:pPr>
        <w:spacing w:after="140"/>
      </w:pPr>
      <w:r>
        <w:t>Speaking Up and SBAR Practice</w:t>
      </w:r>
    </w:p>
    <w:p>
      <w:pPr>
        <w:pStyle w:val="Heading1"/>
        <w:spacing w:before="200" w:after="120"/>
      </w:pPr>
      <w:r>
        <w:t>Observation rubric</w:t>
      </w:r>
    </w:p>
    <w:p>
      <w:pPr>
        <w:spacing w:after="140"/>
      </w:pPr>
      <w:r>
        <w:t>Score each criterion 0, 1, or 2. Use 0 when the response is absent or contradicts the objective; 1 when it is partly supported or needs prompting; and 2 when the learner demonstrates the criterion clearly. Total possible score is 8. Set course grading rules before use. This instructional rubric is not a validated assessment instrument.</w:t>
      </w:r>
    </w:p>
    <w:tbl>
      <w:tblPr>
        <w:tblW w:type="auto" w:w="0"/>
        <w:tblLayout w:type="fixed"/>
        <w:tblLook w:firstColumn="1" w:firstRow="1" w:lastColumn="0" w:lastRow="0" w:noHBand="0" w:noVBand="1" w:val="04A0"/>
      </w:tblPr>
      <w:tblGrid>
        <w:gridCol w:w="1728"/>
        <w:gridCol w:w="7056"/>
        <w:gridCol w:w="1008"/>
      </w:tblGrid>
      <w:tr>
        <w:trPr>
          <w:tblHeader/>
        </w:trPr>
        <w:tc>
          <w:tcPr>
            <w:tcW w:type="dxa" w:w="1728"/>
            <w:shd w:fill="E8EDF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sz w:val="20"/>
              </w:rPr>
              <w:t>Criterion</w:t>
            </w:r>
          </w:p>
        </w:tc>
        <w:tc>
          <w:tcPr>
            <w:tcW w:type="dxa" w:w="7056"/>
            <w:shd w:fill="E8EDF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sz w:val="20"/>
              </w:rPr>
              <w:t>What the observer looks for</w:t>
            </w:r>
          </w:p>
        </w:tc>
        <w:tc>
          <w:tcPr>
            <w:tcW w:type="dxa" w:w="1008"/>
            <w:shd w:fill="E8EDF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sz w:val="20"/>
              </w:rPr>
              <w:t>Score</w:t>
            </w:r>
          </w:p>
        </w:tc>
      </w:tr>
      <w:tr>
        <w:tc>
          <w:tcPr>
            <w:tcW w:type="dxa" w:w="172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Structure</w:t>
            </w:r>
          </w:p>
        </w:tc>
        <w:tc>
          <w:tcPr>
            <w:tcW w:type="dxa" w:w="70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Uses the SBAR sequence without unnecessary background.</w:t>
            </w:r>
          </w:p>
        </w:tc>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___ / 2</w:t>
            </w:r>
          </w:p>
        </w:tc>
      </w:tr>
      <w:tr>
        <w:tc>
          <w:tcPr>
            <w:tcW w:type="dxa" w:w="172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Accuracy</w:t>
            </w:r>
          </w:p>
        </w:tc>
        <w:tc>
          <w:tcPr>
            <w:tcW w:type="dxa" w:w="70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Separates observed information from interpretation and uncertainty.</w:t>
            </w:r>
          </w:p>
        </w:tc>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___ / 2</w:t>
            </w:r>
          </w:p>
        </w:tc>
      </w:tr>
      <w:tr>
        <w:tc>
          <w:tcPr>
            <w:tcW w:type="dxa" w:w="172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Assertion</w:t>
            </w:r>
          </w:p>
        </w:tc>
        <w:tc>
          <w:tcPr>
            <w:tcW w:type="dxa" w:w="70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Requests a specific safe next step and persists when needed.</w:t>
            </w:r>
          </w:p>
        </w:tc>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___ / 2</w:t>
            </w:r>
          </w:p>
        </w:tc>
      </w:tr>
      <w:tr>
        <w:tc>
          <w:tcPr>
            <w:tcW w:type="dxa" w:w="172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Check-back</w:t>
            </w:r>
          </w:p>
        </w:tc>
        <w:tc>
          <w:tcPr>
            <w:tcW w:type="dxa" w:w="70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Confirms the action, owner, and understanding.</w:t>
            </w:r>
          </w:p>
        </w:tc>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___ / 2</w:t>
            </w:r>
          </w:p>
        </w:tc>
      </w:tr>
    </w:tbl>
    <w:p>
      <w:pPr>
        <w:spacing w:after="140"/>
      </w:pPr>
      <w:r>
        <w:t>Total ______ / 8     Observer __________________________</w:t>
      </w:r>
    </w:p>
    <w:p>
      <w:pPr>
        <w:pStyle w:val="Heading1"/>
        <w:spacing w:before="200" w:after="120"/>
      </w:pPr>
      <w:r>
        <w:t>Feedback and next action</w:t>
      </w:r>
    </w:p>
    <w:p>
      <w:pPr>
        <w:spacing w:after="140"/>
      </w:pPr>
      <w:r>
        <w:t>One specific strength: ______________________________________________________________</w:t>
        <w:br/>
        <w:t>One revision to make: ______________________________________________________________</w:t>
        <w:br/>
        <w:t>Next action and date: ______________________________________________________________</w:t>
      </w:r>
    </w:p>
    <w:p>
      <w:pPr>
        <w:pStyle w:val="Heading1"/>
        <w:spacing w:before="200" w:after="120"/>
      </w:pPr>
      <w:r>
        <w:t>Source connection</w:t>
      </w:r>
    </w:p>
    <w:p>
      <w:pPr>
        <w:spacing w:after="140"/>
      </w:pPr>
      <w:r>
        <w:t>AHRQ’s TeamSTEPPS resources include SBAR, check-back, CUS, and tools for assertive communication. The rehearsal and scoring guide in this packet are original teaching materials informed by those resources (Agency for Healthcare Research and Quality, 2024).</w:t>
      </w:r>
    </w:p>
    <w:p>
      <w:pPr>
        <w:pStyle w:val="Heading1"/>
        <w:spacing w:before="200" w:after="120"/>
      </w:pPr>
      <w:r>
        <w:t>References</w:t>
      </w:r>
    </w:p>
    <w:p>
      <w:pPr>
        <w:spacing w:after="140"/>
        <w:ind w:left="288" w:hanging="288"/>
      </w:pPr>
      <w:r>
        <w:rPr>
          <w:sz w:val="18"/>
        </w:rPr>
        <w:t>Agency for Healthcare Research and Quality. (2024, February). TeamSTEPPS tools. https://www.ahrq.gov/teamstepps-program/resources/modules/index.html</w:t>
      </w:r>
    </w:p>
    <w:p>
      <w:pPr>
        <w:spacing w:after="140"/>
      </w:pPr>
      <w:r>
        <w:t>Sources accessed October 17 2026. Activities, scenarios, questions, and rubrics are original teaching materials. External organizations do not endorse this packet.</w:t>
      </w: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KANS Faculty Teaching Packet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Speaking Up and SBAR Practice</dc:title>
  <dc:subject/>
  <dc:creator>Kentucky Association of Nursing Students</dc:creator>
  <cp:keywords/>
  <dc:description>generated by python-docx</dc:description>
  <cp:lastModifiedBy/>
  <cp:revision>1</cp:revision>
  <dcterms:created xsi:type="dcterms:W3CDTF">2013-12-23T23:15:00Z</dcterms:created>
  <dcterms:modified xsi:type="dcterms:W3CDTF">2013-12-23T23:15:00Z</dcterms:modified>
  <cp:category/>
</cp:coreProperties>
</file>