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Chapter Advisor Onboarding Workshop</w:t>
      </w:r>
    </w:p>
    <w:p>
      <w:pPr>
        <w:spacing w:after="140"/>
      </w:pPr>
      <w:r>
        <w:t>KANS Faculty Teaching Packet  |  Version 1  |  October 17 2026</w:t>
      </w:r>
    </w:p>
    <w:p>
      <w:pPr>
        <w:spacing w:after="140"/>
      </w:pPr>
      <w:r>
        <w:t>An advisor and officer team leave with named responsibilities, a short operating checklist, and a realistic handoff plan. The workshop supports student leadership while making institutional requirements explicit.</w:t>
      </w:r>
    </w:p>
    <w:p>
      <w:pPr>
        <w:spacing w:after="140"/>
      </w:pPr>
      <w:r>
        <w:t>Audience: New faculty advisors and incoming chapter officers</w:t>
        <w:br/>
        <w:t>Session: 60 minutes  |  Instructor preparation: 20 minutes</w:t>
      </w:r>
    </w:p>
    <w:p>
      <w:pPr>
        <w:pStyle w:val="Heading1"/>
        <w:spacing w:before="200" w:after="120"/>
      </w:pPr>
      <w:r>
        <w:t>Learning objectives</w:t>
      </w:r>
    </w:p>
    <w:p>
      <w:pPr>
        <w:pStyle w:val="ListBullet"/>
        <w:spacing w:after="140"/>
      </w:pPr>
      <w:r>
        <w:t>Distinguish student decisions from advisor and institutional responsibilities.</w:t>
      </w:r>
    </w:p>
    <w:p>
      <w:pPr>
        <w:pStyle w:val="ListBullet"/>
        <w:spacing w:after="140"/>
      </w:pPr>
      <w:r>
        <w:t>Locate current governance, finance, privacy, and access records.</w:t>
      </w:r>
    </w:p>
    <w:p>
      <w:pPr>
        <w:pStyle w:val="ListBullet"/>
        <w:spacing w:after="140"/>
      </w:pPr>
      <w:r>
        <w:t>Assign owners and review dates for the first month.</w:t>
      </w:r>
    </w:p>
    <w:p>
      <w:pPr>
        <w:pStyle w:val="Heading1"/>
        <w:spacing w:before="200" w:after="120"/>
      </w:pPr>
      <w:r>
        <w:t>Before the session</w:t>
      </w:r>
    </w:p>
    <w:p>
      <w:pPr>
        <w:spacing w:after="140"/>
      </w:pPr>
      <w:r>
        <w:t>Invite the advisor, president, and officer responsible for records and finances. Bring current chapter bylaws, school student-organization policies, the NSNA chapter resource page, the chapter calendar, and a record inventory. Review governing documents before treating any workshop suggestion as a requirement. Use an institutional password manager or approved access process; never write passwords in this packet.</w:t>
      </w:r>
    </w:p>
    <w:p>
      <w:pPr>
        <w:pStyle w:val="Heading1"/>
        <w:spacing w:before="200" w:after="120"/>
      </w:pPr>
      <w:r>
        <w:t>Session plan</w:t>
      </w:r>
    </w:p>
    <w:tbl>
      <w:tblPr>
        <w:tblW w:type="auto" w:w="0"/>
        <w:tblLayout w:type="fixed"/>
        <w:tblLook w:firstColumn="1" w:firstRow="1" w:lastColumn="0" w:lastRow="0" w:noHBand="0" w:noVBand="1" w:val="04A0"/>
      </w:tblPr>
      <w:tblGrid>
        <w:gridCol w:w="1440"/>
        <w:gridCol w:w="8352"/>
      </w:tblGrid>
      <w:tr>
        <w:trPr>
          <w:tblHeader/>
        </w:trPr>
        <w:tc>
          <w:tcPr>
            <w:tcW w:type="dxa" w:w="1440"/>
            <w:shd w:fill="E8EDF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b/>
                <w:sz w:val="20"/>
              </w:rPr>
              <w:t>Time</w:t>
            </w:r>
          </w:p>
        </w:tc>
        <w:tc>
          <w:tcPr>
            <w:tcW w:type="dxa" w:w="8352"/>
            <w:shd w:fill="E8EDF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b/>
                <w:sz w:val="20"/>
              </w:rPr>
              <w:t>Facilitator action</w:t>
            </w:r>
          </w:p>
        </w:tc>
      </w:tr>
      <w:tr>
        <w:tc>
          <w:tcPr>
            <w:tcW w:type="dxa" w:w="1440"/>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0–10 minutes</w:t>
            </w:r>
          </w:p>
        </w:tc>
        <w:tc>
          <w:tcPr>
            <w:tcW w:type="dxa" w:w="835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Agree on the chapter purpose, the students’ decision authority, and the situations requiring advisor or school review.</w:t>
            </w:r>
          </w:p>
        </w:tc>
      </w:tr>
      <w:tr>
        <w:tc>
          <w:tcPr>
            <w:tcW w:type="dxa" w:w="1440"/>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10–25 minutes</w:t>
            </w:r>
          </w:p>
        </w:tc>
        <w:tc>
          <w:tcPr>
            <w:tcW w:type="dxa" w:w="835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Review the six work areas on the handout. Mark each as located, needs update, or missing.</w:t>
            </w:r>
          </w:p>
        </w:tc>
      </w:tr>
      <w:tr>
        <w:tc>
          <w:tcPr>
            <w:tcW w:type="dxa" w:w="1440"/>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25–40 minutes</w:t>
            </w:r>
          </w:p>
        </w:tc>
        <w:tc>
          <w:tcPr>
            <w:tcW w:type="dxa" w:w="835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Assign a named owner and a date for each missing item. Choose no more than three priorities for the first month.</w:t>
            </w:r>
          </w:p>
        </w:tc>
      </w:tr>
      <w:tr>
        <w:tc>
          <w:tcPr>
            <w:tcW w:type="dxa" w:w="1440"/>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40–50 minutes</w:t>
            </w:r>
          </w:p>
        </w:tc>
        <w:tc>
          <w:tcPr>
            <w:tcW w:type="dxa" w:w="835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Rehearse the scenario and practice asking for the correct approval before acting.</w:t>
            </w:r>
          </w:p>
        </w:tc>
      </w:tr>
      <w:tr>
        <w:tc>
          <w:tcPr>
            <w:tcW w:type="dxa" w:w="1440"/>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50–60 minutes</w:t>
            </w:r>
          </w:p>
        </w:tc>
        <w:tc>
          <w:tcPr>
            <w:tcW w:type="dxa" w:w="835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Schedule a follow-up and agree how incoming officers will receive records and access.</w:t>
            </w:r>
          </w:p>
        </w:tc>
      </w:tr>
    </w:tbl>
    <w:p>
      <w:pPr>
        <w:spacing w:after="140"/>
      </w:pPr>
      <w:r>
        <w:t>Educational use only. Review against your course and institutional policies before use. This packet does not confer continuing education credit.</w:t>
      </w:r>
    </w:p>
    <w:p>
      <w:r>
        <w:br w:type="page"/>
      </w:r>
    </w:p>
    <w:p>
      <w:pPr>
        <w:pStyle w:val="Title"/>
      </w:pPr>
      <w:r>
        <w:t>Student Activity Handout</w:t>
      </w:r>
    </w:p>
    <w:p>
      <w:pPr>
        <w:spacing w:after="140"/>
      </w:pPr>
      <w:r>
        <w:t>Chapter Advisor Onboarding Workshop</w:t>
      </w:r>
    </w:p>
    <w:p>
      <w:pPr>
        <w:spacing w:after="140"/>
      </w:pPr>
      <w:r>
        <w:t>Name __________________________  Date ______________  Course or chapter __________________________</w:t>
      </w:r>
    </w:p>
    <w:p>
      <w:pPr>
        <w:pStyle w:val="Heading1"/>
        <w:spacing w:before="200" w:after="120"/>
      </w:pPr>
      <w:r>
        <w:t>Scenario</w:t>
      </w:r>
    </w:p>
    <w:p>
      <w:pPr>
        <w:spacing w:after="140"/>
      </w:pPr>
      <w:r>
        <w:t>An incoming officer wants to pay an event deposit from a personal account because the chapter’s account access has not transferred. The outgoing treasurer has receipts in personal email, and nobody can locate the latest bylaws. The event is not yet approved by the school.</w:t>
      </w:r>
    </w:p>
    <w:p>
      <w:pPr>
        <w:pStyle w:val="Heading1"/>
        <w:spacing w:before="200" w:after="120"/>
      </w:pPr>
      <w:r>
        <w:t>New information</w:t>
      </w:r>
    </w:p>
    <w:p>
      <w:pPr>
        <w:spacing w:after="140"/>
      </w:pPr>
      <w:r>
        <w:t>The advisor offers to make every decision until the records arrive. Discuss a narrower plan that protects the chapter while keeping students responsible for the work they can appropriately perform.</w:t>
      </w:r>
    </w:p>
    <w:p>
      <w:pPr>
        <w:pStyle w:val="Heading1"/>
        <w:spacing w:before="200" w:after="120"/>
      </w:pPr>
      <w:r>
        <w:t>Your task</w:t>
      </w:r>
    </w:p>
    <w:p>
      <w:pPr>
        <w:spacing w:after="140"/>
      </w:pPr>
      <w:r>
        <w:t>1. Governance: Where are the current bylaws, officer roles, membership rules, and minutes? Who confirms the current version?</w:t>
      </w:r>
    </w:p>
    <w:p>
      <w:pPr>
        <w:spacing w:after="120"/>
      </w:pPr>
      <w:r>
        <w:t>________________________________________________________________________________</w:t>
      </w:r>
    </w:p>
    <w:p>
      <w:pPr>
        <w:spacing w:after="140"/>
      </w:pPr>
      <w:r>
        <w:t>2. Finance: Who approves a commitment, pays it, retains receipts, and provides a second review under school policy?</w:t>
      </w:r>
    </w:p>
    <w:p>
      <w:pPr>
        <w:spacing w:after="120"/>
      </w:pPr>
      <w:r>
        <w:t>________________________________________________________________________________</w:t>
      </w:r>
    </w:p>
    <w:p>
      <w:pPr>
        <w:spacing w:after="140"/>
      </w:pPr>
      <w:r>
        <w:t>3. Privacy and access: Which records belong in an approved shared location? Who authorizes access and removes outgoing users?</w:t>
      </w:r>
    </w:p>
    <w:p>
      <w:pPr>
        <w:spacing w:after="120"/>
      </w:pPr>
      <w:r>
        <w:t>________________________________________________________________________________</w:t>
      </w:r>
    </w:p>
    <w:p>
      <w:pPr>
        <w:spacing w:after="140"/>
      </w:pPr>
      <w:r>
        <w:t>4. Coaching: How often will the advisor meet officers, and what warrants an earlier conversation?</w:t>
      </w:r>
    </w:p>
    <w:p>
      <w:pPr>
        <w:spacing w:after="120"/>
      </w:pPr>
      <w:r>
        <w:t>________________________________________________________________________________</w:t>
      </w:r>
    </w:p>
    <w:p>
      <w:pPr>
        <w:spacing w:after="140"/>
      </w:pPr>
      <w:r>
        <w:t>5. Learning and engagement: What accessible activity will the chapter offer first, and how will it invite feedback?</w:t>
      </w:r>
    </w:p>
    <w:p>
      <w:pPr>
        <w:spacing w:after="120"/>
      </w:pPr>
      <w:r>
        <w:t>________________________________________________________________________________</w:t>
      </w:r>
    </w:p>
    <w:p>
      <w:pPr>
        <w:spacing w:after="140"/>
      </w:pPr>
      <w:r>
        <w:t>6. Succession: What must the next team receive, who owns the inventory, and when will the team review it?</w:t>
      </w:r>
    </w:p>
    <w:p>
      <w:pPr>
        <w:spacing w:after="120"/>
      </w:pPr>
      <w:r>
        <w:t>________________________________________________________________________________</w:t>
      </w:r>
    </w:p>
    <w:p>
      <w:pPr>
        <w:pStyle w:val="Heading1"/>
        <w:spacing w:before="200" w:after="120"/>
      </w:pPr>
      <w:r>
        <w:t>What to submit</w:t>
      </w:r>
    </w:p>
    <w:p>
      <w:pPr>
        <w:spacing w:after="140"/>
      </w:pPr>
      <w:r>
        <w:t>Complete a one-page first-month plan listing up to three priorities, an owner, an approval needed, a due date, and evidence of completion. Keep sensitive records in the approved institutional system.</w:t>
      </w:r>
    </w:p>
    <w:p>
      <w:r>
        <w:br w:type="page"/>
      </w:r>
    </w:p>
    <w:p>
      <w:pPr>
        <w:pStyle w:val="Title"/>
      </w:pPr>
      <w:r>
        <w:t>Facilitator Discussion Guide</w:t>
      </w:r>
    </w:p>
    <w:p>
      <w:pPr>
        <w:spacing w:after="140"/>
      </w:pPr>
      <w:r>
        <w:t>Chapter Advisor Onboarding Workshop</w:t>
      </w:r>
    </w:p>
    <w:p>
      <w:pPr>
        <w:spacing w:after="140"/>
      </w:pPr>
      <w:r>
        <w:t>Use this guide after learners finish their first response. Accept well-reasoned alternatives that meet the objectives and local policies. Ask learners to explain uncertainty rather than guess what the instructor wants to hear.</w:t>
      </w:r>
    </w:p>
    <w:p>
      <w:pPr>
        <w:pStyle w:val="Heading1"/>
        <w:spacing w:before="200" w:after="120"/>
      </w:pPr>
      <w:r>
        <w:t>Pause unapproved commitments</w:t>
      </w:r>
    </w:p>
    <w:p>
      <w:pPr>
        <w:spacing w:after="140"/>
      </w:pPr>
      <w:r>
        <w:t>The team should verify school approval and financial procedures before paying a deposit. The workshop does not authorize personal reimbursement, contracting, or an alternate bank process.</w:t>
      </w:r>
    </w:p>
    <w:p>
      <w:pPr>
        <w:pStyle w:val="Heading1"/>
        <w:spacing w:before="200" w:after="120"/>
      </w:pPr>
      <w:r>
        <w:t>Recover the record inventory</w:t>
      </w:r>
    </w:p>
    <w:p>
      <w:pPr>
        <w:spacing w:after="140"/>
      </w:pPr>
      <w:r>
        <w:t>Ask authorized outgoing officers for the required records through the school’s approved process. Identify missing items without distributing private member information.</w:t>
      </w:r>
    </w:p>
    <w:p>
      <w:pPr>
        <w:pStyle w:val="Heading1"/>
        <w:spacing w:before="200" w:after="120"/>
      </w:pPr>
      <w:r>
        <w:t>Preserve student responsibility</w:t>
      </w:r>
    </w:p>
    <w:p>
      <w:pPr>
        <w:spacing w:after="140"/>
      </w:pPr>
      <w:r>
        <w:t>An effective plan gives students concrete tasks such as locating bylaws, drafting an agenda, and assembling an inventory. The advisor coaches and handles responsibilities defined by institutional policy.</w:t>
      </w:r>
    </w:p>
    <w:p>
      <w:pPr>
        <w:pStyle w:val="Heading1"/>
        <w:spacing w:before="200" w:after="120"/>
      </w:pPr>
      <w:r>
        <w:t>Make a review possible</w:t>
      </w:r>
    </w:p>
    <w:p>
      <w:pPr>
        <w:spacing w:after="140"/>
      </w:pPr>
      <w:r>
        <w:t>A strong first-month plan identifies an owner and evidence, not simply “work on finances.” Schedule a check-in to confirm that records and access have transferred appropriately.</w:t>
      </w:r>
    </w:p>
    <w:p>
      <w:pPr>
        <w:pStyle w:val="Heading1"/>
        <w:spacing w:before="200" w:after="120"/>
      </w:pPr>
      <w:r>
        <w:t>Debrief questions</w:t>
      </w:r>
    </w:p>
    <w:p>
      <w:pPr>
        <w:pStyle w:val="ListBullet"/>
        <w:spacing w:after="140"/>
      </w:pPr>
      <w:r>
        <w:t>Which responsibility had no clear owner?</w:t>
      </w:r>
    </w:p>
    <w:p>
      <w:pPr>
        <w:pStyle w:val="ListBullet"/>
        <w:spacing w:after="140"/>
      </w:pPr>
      <w:r>
        <w:t>Where should the advisor intervene, and where should students decide?</w:t>
      </w:r>
    </w:p>
    <w:p>
      <w:pPr>
        <w:pStyle w:val="ListBullet"/>
        <w:spacing w:after="140"/>
      </w:pPr>
      <w:r>
        <w:t>What would make next year’s transition easier?</w:t>
      </w:r>
    </w:p>
    <w:p>
      <w:pPr>
        <w:pStyle w:val="Heading1"/>
        <w:spacing w:before="200" w:after="120"/>
      </w:pPr>
      <w:r>
        <w:t>Adaptation and access</w:t>
      </w:r>
    </w:p>
    <w:p>
      <w:pPr>
        <w:spacing w:after="140"/>
      </w:pPr>
      <w:r>
        <w:t>For a shorter session, use one scenario round and an individual exit response. For an online class, let students submit an audio response or a written equivalent. Explain the same criteria for every format. Provide documents in an accessible format and arrange approved accommodations through your institution.</w:t>
      </w:r>
    </w:p>
    <w:p>
      <w:pPr>
        <w:pStyle w:val="Heading1"/>
        <w:spacing w:before="200" w:after="120"/>
      </w:pPr>
      <w:r>
        <w:t>Exit response</w:t>
      </w:r>
    </w:p>
    <w:p>
      <w:pPr>
        <w:spacing w:after="140"/>
      </w:pPr>
      <w:r>
        <w:t>Name one assumption you reconsidered and one action you would take next. What evidence would show that your action helped?</w:t>
      </w:r>
    </w:p>
    <w:p>
      <w:r>
        <w:br w:type="page"/>
      </w:r>
    </w:p>
    <w:p>
      <w:pPr>
        <w:pStyle w:val="Title"/>
      </w:pPr>
      <w:r>
        <w:t>Assessment and References</w:t>
      </w:r>
    </w:p>
    <w:p>
      <w:pPr>
        <w:spacing w:after="140"/>
      </w:pPr>
      <w:r>
        <w:t>Chapter Advisor Onboarding Workshop</w:t>
      </w:r>
    </w:p>
    <w:p>
      <w:pPr>
        <w:pStyle w:val="Heading1"/>
        <w:spacing w:before="200" w:after="120"/>
      </w:pPr>
      <w:r>
        <w:t>Observation rubric</w:t>
      </w:r>
    </w:p>
    <w:p>
      <w:pPr>
        <w:spacing w:after="140"/>
      </w:pPr>
      <w:r>
        <w:t>Score each criterion 0, 1, or 2. Use 0 when the response is absent or contradicts the objective; 1 when it is partly supported or needs prompting; and 2 when the learner demonstrates the criterion clearly. Total possible score is 8. Set course grading rules before use. This instructional rubric is not a validated assessment instrument.</w:t>
      </w:r>
    </w:p>
    <w:tbl>
      <w:tblPr>
        <w:tblW w:type="auto" w:w="0"/>
        <w:tblLayout w:type="fixed"/>
        <w:tblLook w:firstColumn="1" w:firstRow="1" w:lastColumn="0" w:lastRow="0" w:noHBand="0" w:noVBand="1" w:val="04A0"/>
      </w:tblPr>
      <w:tblGrid>
        <w:gridCol w:w="1728"/>
        <w:gridCol w:w="7056"/>
        <w:gridCol w:w="1008"/>
      </w:tblGrid>
      <w:tr>
        <w:trPr>
          <w:tblHeader/>
        </w:trPr>
        <w:tc>
          <w:tcPr>
            <w:tcW w:type="dxa" w:w="1728"/>
            <w:shd w:fill="E8EDF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b/>
                <w:sz w:val="20"/>
              </w:rPr>
              <w:t>Criterion</w:t>
            </w:r>
          </w:p>
        </w:tc>
        <w:tc>
          <w:tcPr>
            <w:tcW w:type="dxa" w:w="7056"/>
            <w:shd w:fill="E8EDF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b/>
                <w:sz w:val="20"/>
              </w:rPr>
              <w:t>What the observer looks for</w:t>
            </w:r>
          </w:p>
        </w:tc>
        <w:tc>
          <w:tcPr>
            <w:tcW w:type="dxa" w:w="1008"/>
            <w:shd w:fill="E8EDF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b/>
                <w:sz w:val="20"/>
              </w:rPr>
              <w:t>Score</w:t>
            </w:r>
          </w:p>
        </w:tc>
      </w:tr>
      <w:tr>
        <w:tc>
          <w:tcPr>
            <w:tcW w:type="dxa" w:w="172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Role clarity</w:t>
            </w:r>
          </w:p>
        </w:tc>
        <w:tc>
          <w:tcPr>
            <w:tcW w:type="dxa" w:w="7056"/>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Distinguishes student authority, advisor support, and institutional review.</w:t>
            </w:r>
          </w:p>
        </w:tc>
        <w:tc>
          <w:tcPr>
            <w:tcW w:type="dxa" w:w="100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___ / 2</w:t>
            </w:r>
          </w:p>
        </w:tc>
      </w:tr>
      <w:tr>
        <w:tc>
          <w:tcPr>
            <w:tcW w:type="dxa" w:w="172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Record readiness</w:t>
            </w:r>
          </w:p>
        </w:tc>
        <w:tc>
          <w:tcPr>
            <w:tcW w:type="dxa" w:w="7056"/>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Identifies current records and missing information accurately.</w:t>
            </w:r>
          </w:p>
        </w:tc>
        <w:tc>
          <w:tcPr>
            <w:tcW w:type="dxa" w:w="100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___ / 2</w:t>
            </w:r>
          </w:p>
        </w:tc>
      </w:tr>
      <w:tr>
        <w:tc>
          <w:tcPr>
            <w:tcW w:type="dxa" w:w="172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Controls</w:t>
            </w:r>
          </w:p>
        </w:tc>
        <w:tc>
          <w:tcPr>
            <w:tcW w:type="dxa" w:w="7056"/>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Names the applicable approval, finance, privacy, and access processes.</w:t>
            </w:r>
          </w:p>
        </w:tc>
        <w:tc>
          <w:tcPr>
            <w:tcW w:type="dxa" w:w="100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___ / 2</w:t>
            </w:r>
          </w:p>
        </w:tc>
      </w:tr>
      <w:tr>
        <w:tc>
          <w:tcPr>
            <w:tcW w:type="dxa" w:w="172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Follow-through</w:t>
            </w:r>
          </w:p>
        </w:tc>
        <w:tc>
          <w:tcPr>
            <w:tcW w:type="dxa" w:w="7056"/>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Assigns feasible priorities with owners, dates, and completion evidence.</w:t>
            </w:r>
          </w:p>
        </w:tc>
        <w:tc>
          <w:tcPr>
            <w:tcW w:type="dxa" w:w="100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___ / 2</w:t>
            </w:r>
          </w:p>
        </w:tc>
      </w:tr>
    </w:tbl>
    <w:p>
      <w:pPr>
        <w:spacing w:after="140"/>
      </w:pPr>
      <w:r>
        <w:t>Total ______ / 8     Observer __________________________</w:t>
      </w:r>
    </w:p>
    <w:p>
      <w:pPr>
        <w:pStyle w:val="Heading1"/>
        <w:spacing w:before="200" w:after="120"/>
      </w:pPr>
      <w:r>
        <w:t>Feedback and next action</w:t>
      </w:r>
    </w:p>
    <w:p>
      <w:pPr>
        <w:spacing w:after="140"/>
      </w:pPr>
      <w:r>
        <w:t>One specific strength: ______________________________________________________________</w:t>
        <w:br/>
        <w:t>One revision to make: ______________________________________________________________</w:t>
        <w:br/>
        <w:t>Next action and date: ______________________________________________________________</w:t>
      </w:r>
    </w:p>
    <w:p>
      <w:pPr>
        <w:pStyle w:val="Heading1"/>
        <w:spacing w:before="200" w:after="120"/>
      </w:pPr>
      <w:r>
        <w:t>Source connection</w:t>
      </w:r>
    </w:p>
    <w:p>
      <w:pPr>
        <w:spacing w:after="140"/>
      </w:pPr>
      <w:r>
        <w:t>NSNA’s chapter resources include bylaws, financial guidance, privacy materials, and meeting tools. Its leadership handbook supports chapter management. This original workshop organizes a local conversation and does not create new KANS, NSNA, or school policy (National Student Nurses’ Association, n.d.-a, n.d.-b).</w:t>
      </w:r>
    </w:p>
    <w:p>
      <w:pPr>
        <w:pStyle w:val="Heading1"/>
        <w:spacing w:before="200" w:after="120"/>
      </w:pPr>
      <w:r>
        <w:t>References</w:t>
      </w:r>
    </w:p>
    <w:p>
      <w:pPr>
        <w:spacing w:after="140"/>
        <w:ind w:left="288" w:hanging="288"/>
      </w:pPr>
      <w:r>
        <w:rPr>
          <w:sz w:val="18"/>
        </w:rPr>
        <w:t>National Student Nurses’ Association. (n.d.-a). Getting the pieces to fit. https://www.nsna.org/getting-pieces-fit</w:t>
      </w:r>
    </w:p>
    <w:p>
      <w:pPr>
        <w:spacing w:after="140"/>
        <w:ind w:left="288" w:hanging="288"/>
      </w:pPr>
      <w:r>
        <w:rPr>
          <w:sz w:val="18"/>
        </w:rPr>
        <w:t>National Student Nurses’ Association. (n.d.-b). School chapter resources. https://www.nsna.org/school-chapter-resources</w:t>
      </w:r>
    </w:p>
    <w:p>
      <w:pPr>
        <w:spacing w:after="140"/>
      </w:pPr>
      <w:r>
        <w:t>Sources accessed October 17 2026. Activities, scenarios, questions, and rubrics are original teaching materials. External organizations do not endorse this packet.</w:t>
      </w:r>
    </w:p>
    <w:sectPr w:rsidR="00FC693F" w:rsidRPr="0006063C" w:rsidSect="00034616">
      <w:footerReference w:type="default" r:id="rId9"/>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t xml:space="preserve">KANS Faculty Teaching Packet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59"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Calibri" w:hAnsi="Calibri"/>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Advisor Onboarding Workshop</dc:title>
  <dc:subject/>
  <dc:creator>Kentucky Association of Nursing Students</dc:creator>
  <cp:keywords/>
  <dc:description>generated by python-docx</dc:description>
  <cp:lastModifiedBy/>
  <cp:revision>1</cp:revision>
  <dcterms:created xsi:type="dcterms:W3CDTF">2013-12-23T23:15:00Z</dcterms:created>
  <dcterms:modified xsi:type="dcterms:W3CDTF">2013-12-23T23:15:00Z</dcterms:modified>
  <cp:category/>
</cp:coreProperties>
</file>